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Animer une réunion parents sur l'orientation</w:t>
      </w:r>
    </w:p>
    <w:p>
      <w:pPr>
        <w:pStyle w:val="Title"/>
      </w:pPr>
      <w:r>
        <w:t>Fiche élève</w:t>
      </w:r>
    </w:p>
    <w:p>
      <w:pPr>
        <w:pStyle w:val="Heading1"/>
      </w:pPr>
      <w:r>
        <w:t>Fiche à remplir en famille après la réunion</w:t>
      </w:r>
    </w:p>
    <w:p>
      <w:r>
        <w:t>Élève : ...................................................... Classe : .................. Date : ..................</w:t>
      </w:r>
    </w:p>
    <w:p>
      <w:pPr>
        <w:pStyle w:val="Heading2"/>
      </w:pPr>
      <w:r>
        <w:t>1. Ce que nous avons retenu du calendrier</w:t>
      </w:r>
    </w:p>
    <w:tbl>
      <w:tblPr>
        <w:tblStyle w:val="TableGrid"/>
        <w:tblW w:type="auto" w:w="0"/>
        <w:tblLook w:firstColumn="1" w:firstRow="1" w:lastColumn="0" w:lastRow="0" w:noHBand="0" w:noVBand="1" w:val="04A0"/>
      </w:tblPr>
      <w:tblGrid>
        <w:gridCol w:w="2880"/>
        <w:gridCol w:w="2880"/>
        <w:gridCol w:w="2880"/>
      </w:tblGrid>
      <w:tr>
        <w:tc>
          <w:tcPr>
            <w:tcW w:type="dxa" w:w="2880"/>
          </w:tcPr>
          <w:p>
            <w:r>
              <w:t>Étape</w:t>
            </w:r>
          </w:p>
        </w:tc>
        <w:tc>
          <w:tcPr>
            <w:tcW w:type="dxa" w:w="2880"/>
          </w:tcPr>
          <w:p>
            <w:r>
              <w:t>Période annoncée</w:t>
            </w:r>
          </w:p>
        </w:tc>
        <w:tc>
          <w:tcPr>
            <w:tcW w:type="dxa" w:w="2880"/>
          </w:tcPr>
          <w:p>
            <w:r>
              <w:t>Ce que nous devons faire</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bl>
    <w:p>
      <w:pPr>
        <w:pStyle w:val="Heading2"/>
      </w:pPr>
      <w:r>
        <w:t>2. Les pistes de mon enfant, aujourd'hui</w:t>
      </w:r>
    </w:p>
    <w:p>
      <w:r>
        <w:t>Première piste : ....................................................................................................................</w:t>
      </w:r>
    </w:p>
    <w:p>
      <w:r>
        <w:t>Ce que nous devons vérifier à son sujet : ...........................................................................................</w:t>
      </w:r>
    </w:p>
    <w:p>
      <w:r>
        <w:t>Deuxième piste : ....................................................................................................................</w:t>
      </w:r>
    </w:p>
    <w:p>
      <w:r>
        <w:t>Ce que nous devons vérifier à son sujet : ...........................................................................................</w:t>
      </w:r>
    </w:p>
    <w:p>
      <w:r>
        <w:t>Une piste à laquelle nous n'avions pas pensé : ......................................................................................</w:t>
      </w:r>
    </w:p>
    <w:p>
      <w:pPr>
        <w:pStyle w:val="Heading2"/>
      </w:pPr>
      <w:r>
        <w:t>3. Nos questions</w:t>
      </w:r>
    </w:p>
    <w:tbl>
      <w:tblPr>
        <w:tblStyle w:val="TableGrid"/>
        <w:tblW w:type="auto" w:w="0"/>
        <w:tblLook w:firstColumn="1" w:firstRow="1" w:lastColumn="0" w:lastRow="0" w:noHBand="0" w:noVBand="1" w:val="04A0"/>
      </w:tblPr>
      <w:tblGrid>
        <w:gridCol w:w="2880"/>
        <w:gridCol w:w="2880"/>
        <w:gridCol w:w="2880"/>
      </w:tblGrid>
      <w:tr>
        <w:tc>
          <w:tcPr>
            <w:tcW w:type="dxa" w:w="2880"/>
          </w:tcPr>
          <w:p>
            <w:r>
              <w:t>Notre question</w:t>
            </w:r>
          </w:p>
        </w:tc>
        <w:tc>
          <w:tcPr>
            <w:tcW w:type="dxa" w:w="2880"/>
          </w:tcPr>
          <w:p>
            <w:r>
              <w:t>À qui la poser</w:t>
            </w:r>
          </w:p>
        </w:tc>
        <w:tc>
          <w:tcPr>
            <w:tcW w:type="dxa" w:w="2880"/>
          </w:tcPr>
          <w:p>
            <w:r>
              <w:t>Avant quelle date</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bl>
    <w:p>
      <w:pPr>
        <w:pStyle w:val="Heading2"/>
      </w:pPr>
      <w:r>
        <w:t>4. Nos trois actions du mois</w:t>
      </w:r>
    </w:p>
    <w:p>
      <w:pPr>
        <w:pStyle w:val="ListBullet"/>
      </w:pPr>
      <w:r>
        <w:t>Consulter le site officiel pour vérifier les dates exactes : fait le ..................</w:t>
      </w:r>
    </w:p>
    <w:p>
      <w:pPr>
        <w:pStyle w:val="ListBullet"/>
      </w:pPr>
      <w:r>
        <w:t>Aller à une journée portes ouvertes : laquelle .................................................. quand ..................</w:t>
      </w:r>
    </w:p>
    <w:p>
      <w:pPr>
        <w:pStyle w:val="ListBullet"/>
      </w:pPr>
      <w:r>
        <w:t>Demander un rendez-vous avec le professeur principal ou le psychologue de l'Éducation nationale : demandé le ..................</w:t>
      </w:r>
    </w:p>
    <w:p>
      <w:pPr>
        <w:pStyle w:val="Heading2"/>
      </w:pPr>
      <w:r>
        <w:t>5. Ce dont nous parlerons ensemble ce week-end</w:t>
      </w:r>
    </w:p>
    <w:p>
      <w:r>
        <w:t>....................................................................................................................................</w:t>
      </w:r>
    </w:p>
    <w:p>
      <w:r>
        <w:t>....................................................................................................................................</w:t>
      </w:r>
    </w:p>
    <w:p>
      <w:pPr>
        <w:pStyle w:val="Title"/>
      </w:pPr>
      <w:r>
        <w:t>Fiche enseignant</w:t>
      </w:r>
    </w:p>
    <w:p>
      <w:pPr>
        <w:pStyle w:val="Heading1"/>
      </w:pPr>
      <w:r>
        <w:t>Objectifs</w:t>
      </w:r>
    </w:p>
    <w:p>
      <w:pPr>
        <w:pStyle w:val="ListBullet"/>
      </w:pPr>
      <w:r>
        <w:t>Présenter aux familles le calendrier officiel de l'année, étape par étape, avec les dates de référence à vérifier.</w:t>
      </w:r>
    </w:p>
    <w:p>
      <w:pPr>
        <w:pStyle w:val="ListBullet"/>
      </w:pPr>
      <w:r>
        <w:t>Expliquer qui décide quoi, entre la famille, le conseil de classe et l'établissement d'accueil.</w:t>
      </w:r>
    </w:p>
    <w:p>
      <w:pPr>
        <w:pStyle w:val="ListBullet"/>
      </w:pPr>
      <w:r>
        <w:t>Corriger les trois idées reçues les plus répandues sur les voies d'orientation.</w:t>
      </w:r>
    </w:p>
    <w:p>
      <w:pPr>
        <w:pStyle w:val="ListBullet"/>
      </w:pPr>
      <w:r>
        <w:t>Indiquer précisément qui contacter, pour quelle question, et à quel moment.</w:t>
      </w:r>
    </w:p>
    <w:p>
      <w:pPr>
        <w:pStyle w:val="ListBullet"/>
      </w:pPr>
      <w:r>
        <w:t>Repartir avec une fiche à remplir en famille et une action à mener dans le mois.</w:t>
      </w:r>
    </w:p>
    <w:p>
      <w:pPr>
        <w:pStyle w:val="Heading1"/>
      </w:pPr>
      <w:r>
        <w:t>Déroulé</w:t>
      </w:r>
    </w:p>
    <w:p>
      <w:pPr>
        <w:pStyle w:val="ListBullet"/>
      </w:pPr>
      <w:r>
        <w:t>Accueil et cadrage (10 min) : objet de la réunion, ce qui sera traité, ce qui relève du rendez-vous individuel.</w:t>
      </w:r>
    </w:p>
    <w:p>
      <w:pPr>
        <w:pStyle w:val="ListBullet"/>
      </w:pPr>
      <w:r>
        <w:t>Le calendrier de l'année (25 min) : étapes, décisions, dates de référence à vérifier sur les sites officiels.</w:t>
      </w:r>
    </w:p>
    <w:p>
      <w:pPr>
        <w:pStyle w:val="ListBullet"/>
      </w:pPr>
      <w:r>
        <w:t>Qui décide quoi (15 min) : rôle de la famille, du conseil de classe, de l'affectation ou de la plateforme d'admission.</w:t>
      </w:r>
    </w:p>
    <w:p>
      <w:pPr>
        <w:pStyle w:val="ListBullet"/>
      </w:pPr>
      <w:r>
        <w:t>Les voies possibles (20 min) : panorama honnête, sans hiérarchie implicite, avec les poursuites d'études réelles.</w:t>
      </w:r>
    </w:p>
    <w:p>
      <w:pPr>
        <w:pStyle w:val="ListBullet"/>
      </w:pPr>
      <w:r>
        <w:t>Questions de la salle (15 min) : réponses courtes, renvoi au rendez-vous individuel quand le cas est personnel.</w:t>
      </w:r>
    </w:p>
    <w:p>
      <w:pPr>
        <w:pStyle w:val="ListBullet"/>
      </w:pPr>
      <w:r>
        <w:t>Ce que vous faites en sortant (5 min) : distribution de la fiche à remplir en famille et annonce des créneaux de rendez-vous.</w:t>
      </w:r>
    </w:p>
    <w:p>
      <w:pPr>
        <w:pStyle w:val="Heading1"/>
      </w:pPr>
      <w:r>
        <w:t>Fiche enseignant : plan de réunion et questions fréquentes</w:t>
      </w:r>
    </w:p>
    <w:p>
      <w:pPr>
        <w:pStyle w:val="Heading2"/>
      </w:pPr>
      <w:r>
        <w:t>Plan minuté de la réunion</w:t>
      </w:r>
    </w:p>
    <w:p>
      <w:pPr>
        <w:pStyle w:val="ListBullet"/>
      </w:pPr>
      <w:r>
        <w:t>0 à 10 min, accueil et cadrage. Vous annoncez l'objet, la durée, et la règle : aucune situation individuelle traitée en séance, des créneaux de rendez-vous à la sortie.</w:t>
      </w:r>
    </w:p>
    <w:p>
      <w:pPr>
        <w:pStyle w:val="ListBullet"/>
      </w:pPr>
      <w:r>
        <w:t>10 à 35 min, le calendrier. Étape par étape, du premier conseil de classe à la décision finale. Projetez le site officiel en direct pour les dates exactes de la session.</w:t>
      </w:r>
    </w:p>
    <w:p>
      <w:pPr>
        <w:pStyle w:val="ListBullet"/>
      </w:pPr>
      <w:r>
        <w:t>35 à 50 min, qui décide quoi. En 3e : vœux de la famille, avis du conseil de classe, décision du chef d'établissement, puis affectation. Nommez la voie de recours et la commission d'appel. En terminale : vœux de l'élève, éléments du dossier, décision des formations, réponses de la plateforme.</w:t>
      </w:r>
    </w:p>
    <w:p>
      <w:pPr>
        <w:pStyle w:val="ListBullet"/>
      </w:pPr>
      <w:r>
        <w:t>50 à 70 min, les voies possibles. Panorama neutre. Une diapositive par voie, contenu, rythme, débouchés, poursuites d'études réelles.</w:t>
      </w:r>
    </w:p>
    <w:p>
      <w:pPr>
        <w:pStyle w:val="ListBullet"/>
      </w:pPr>
      <w:r>
        <w:t>70 à 85 min, questions de la salle. Réponses de deux minutes maximum. Les cas personnels sont notés et renvoyés au rendez-vous.</w:t>
      </w:r>
    </w:p>
    <w:p>
      <w:pPr>
        <w:pStyle w:val="ListBullet"/>
      </w:pPr>
      <w:r>
        <w:t>85 à 90 min, sortie. Distribution de la fiche famille, annonce des créneaux, rappel des adresses officielles.</w:t>
      </w:r>
    </w:p>
    <w:p>
      <w:pPr>
        <w:pStyle w:val="Heading2"/>
      </w:pPr>
      <w:r>
        <w:t>Attendus pour les familles</w:t>
      </w:r>
    </w:p>
    <w:p>
      <w:r>
        <w:t>À la sortie, une famille doit savoir dire quelles sont les deux ou trois prochaines échéances, qui prend la décision à chaque étape, et à qui s'adresser en cas de désaccord. Elle doit repartir avec une fiche et au moins une action datée. Le reste est un bonus.</w:t>
      </w:r>
    </w:p>
    <w:p>
      <w:pPr>
        <w:pStyle w:val="Heading2"/>
      </w:pPr>
      <w:r>
        <w:t>Questions fréquentes et réponses</w:t>
      </w:r>
    </w:p>
    <w:tbl>
      <w:tblPr>
        <w:tblStyle w:val="TableGrid"/>
        <w:tblW w:type="auto" w:w="0"/>
        <w:tblLook w:firstColumn="1" w:firstRow="1" w:lastColumn="0" w:lastRow="0" w:noHBand="0" w:noVBand="1" w:val="04A0"/>
      </w:tblPr>
      <w:tblGrid>
        <w:gridCol w:w="4320"/>
        <w:gridCol w:w="4320"/>
      </w:tblGrid>
      <w:tr>
        <w:tc>
          <w:tcPr>
            <w:tcW w:type="dxa" w:w="4320"/>
          </w:tcPr>
          <w:p>
            <w:r>
              <w:t>Question posée</w:t>
            </w:r>
          </w:p>
        </w:tc>
        <w:tc>
          <w:tcPr>
            <w:tcW w:type="dxa" w:w="4320"/>
          </w:tcPr>
          <w:p>
            <w:r>
              <w:t>Réponse à donner</w:t>
            </w:r>
          </w:p>
        </w:tc>
      </w:tr>
      <w:tr>
        <w:tc>
          <w:tcPr>
            <w:tcW w:type="dxa" w:w="4320"/>
          </w:tcPr>
          <w:p>
            <w:r>
              <w:t>Est-ce que le conseil de classe peut imposer une voie ?</w:t>
            </w:r>
          </w:p>
        </w:tc>
        <w:tc>
          <w:tcPr>
            <w:tcW w:type="dxa" w:w="4320"/>
          </w:tcPr>
          <w:p>
            <w:r>
              <w:t>Le conseil de classe émet un avis et le chef d'établissement rend une décision. En cas de désaccord persistant, un entretien puis une commission d'appel sont prévus. La famille n'est jamais sans recours.</w:t>
            </w:r>
          </w:p>
        </w:tc>
      </w:tr>
      <w:tr>
        <w:tc>
          <w:tcPr>
            <w:tcW w:type="dxa" w:w="4320"/>
          </w:tcPr>
          <w:p>
            <w:r>
              <w:t>Mon enfant n'a aucune idée de ce qu'il veut faire, est-ce grave ?</w:t>
            </w:r>
          </w:p>
        </w:tc>
        <w:tc>
          <w:tcPr>
            <w:tcW w:type="dxa" w:w="4320"/>
          </w:tcPr>
          <w:p>
            <w:r>
              <w:t>Non, c'est fréquent à cet âge. L'objectif de l'année n'est pas de choisir un métier mais de garder des voies ouvertes et d'aller vérifier deux ou trois pistes concrètes.</w:t>
            </w:r>
          </w:p>
        </w:tc>
      </w:tr>
      <w:tr>
        <w:tc>
          <w:tcPr>
            <w:tcW w:type="dxa" w:w="4320"/>
          </w:tcPr>
          <w:p>
            <w:r>
              <w:t>Un bac professionnel ferme-t-il les études supérieures ?</w:t>
            </w:r>
          </w:p>
        </w:tc>
        <w:tc>
          <w:tcPr>
            <w:tcW w:type="dxa" w:w="4320"/>
          </w:tcPr>
          <w:p>
            <w:r>
              <w:t>Non. La poursuite en BTS est fréquente et des places y sont réservées aux bacheliers professionnels. La question à se poser porte sur le projet, pas sur un plafond supposé.</w:t>
            </w:r>
          </w:p>
        </w:tc>
      </w:tr>
      <w:tr>
        <w:tc>
          <w:tcPr>
            <w:tcW w:type="dxa" w:w="4320"/>
          </w:tcPr>
          <w:p>
            <w:r>
              <w:t>L'apprentissage, c'est pour ceux qui décrochent ?</w:t>
            </w:r>
          </w:p>
        </w:tc>
        <w:tc>
          <w:tcPr>
            <w:tcW w:type="dxa" w:w="4320"/>
          </w:tcPr>
          <w:p>
            <w:r>
              <w:t>Non. C'est un contrat de travail qui prépare le même diplôme qu'en voie scolaire, du CAP au bac+5. La difficulté principale est de trouver une entreprise, et elle se prépare dès le printemps.</w:t>
            </w:r>
          </w:p>
        </w:tc>
      </w:tr>
      <w:tr>
        <w:tc>
          <w:tcPr>
            <w:tcW w:type="dxa" w:w="4320"/>
          </w:tcPr>
          <w:p>
            <w:r>
              <w:t>Que se passe-t-il si nous n'obtenons aucun de nos vœux ?</w:t>
            </w:r>
          </w:p>
        </w:tc>
        <w:tc>
          <w:tcPr>
            <w:tcW w:type="dxa" w:w="4320"/>
          </w:tcPr>
          <w:p>
            <w:r>
              <w:t>Des procédures de rattrapage existent à chaque niveau, affectation complémentaire en 3e, phase complémentaire et commission d'accès au supérieur en terminale. Personne n'est laissé sans solution, mais il faut rester joignable pendant l'été.</w:t>
            </w:r>
          </w:p>
        </w:tc>
      </w:tr>
      <w:tr>
        <w:tc>
          <w:tcPr>
            <w:tcW w:type="dxa" w:w="4320"/>
          </w:tcPr>
          <w:p>
            <w:r>
              <w:t>Quelles sont les dates exactes cette année ?</w:t>
            </w:r>
          </w:p>
        </w:tc>
        <w:tc>
          <w:tcPr>
            <w:tcW w:type="dxa" w:w="4320"/>
          </w:tcPr>
          <w:p>
            <w:r>
              <w:t>Les repères sont stables d'une année sur l'autre, les dates précises sont publiées sur les sites officiels. Consultez-les plutôt que de vous fier à ce qui circule entre parents.</w:t>
            </w:r>
          </w:p>
        </w:tc>
      </w:tr>
    </w:tbl>
    <w:p>
      <w:pPr>
        <w:pStyle w:val="Heading2"/>
      </w:pPr>
      <w:r>
        <w:t>Grille d'évaluation de la réunion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Critère</w:t>
            </w:r>
          </w:p>
        </w:tc>
        <w:tc>
          <w:tcPr>
            <w:tcW w:type="dxa" w:w="2160"/>
          </w:tcPr>
          <w:p>
            <w:r>
              <w:t>Insuffisant</w:t>
            </w:r>
          </w:p>
        </w:tc>
        <w:tc>
          <w:tcPr>
            <w:tcW w:type="dxa" w:w="2160"/>
          </w:tcPr>
          <w:p>
            <w:r>
              <w:t>Correct</w:t>
            </w:r>
          </w:p>
        </w:tc>
        <w:tc>
          <w:tcPr>
            <w:tcW w:type="dxa" w:w="2160"/>
          </w:tcPr>
          <w:p>
            <w:r>
              <w:t>Réussi</w:t>
            </w:r>
          </w:p>
        </w:tc>
      </w:tr>
      <w:tr>
        <w:tc>
          <w:tcPr>
            <w:tcW w:type="dxa" w:w="2160"/>
          </w:tcPr>
          <w:p>
            <w:r>
              <w:t>Fiches revenues remplies dans le mois</w:t>
            </w:r>
          </w:p>
        </w:tc>
        <w:tc>
          <w:tcPr>
            <w:tcW w:type="dxa" w:w="2160"/>
          </w:tcPr>
          <w:p>
            <w:r>
              <w:t>Moins d'un quart des familles</w:t>
            </w:r>
          </w:p>
        </w:tc>
        <w:tc>
          <w:tcPr>
            <w:tcW w:type="dxa" w:w="2160"/>
          </w:tcPr>
          <w:p>
            <w:r>
              <w:t>Environ la moitié</w:t>
            </w:r>
          </w:p>
        </w:tc>
        <w:tc>
          <w:tcPr>
            <w:tcW w:type="dxa" w:w="2160"/>
          </w:tcPr>
          <w:p>
            <w:r>
              <w:t>Plus des deux tiers</w:t>
            </w:r>
          </w:p>
        </w:tc>
      </w:tr>
      <w:tr>
        <w:tc>
          <w:tcPr>
            <w:tcW w:type="dxa" w:w="2160"/>
          </w:tcPr>
          <w:p>
            <w:r>
              <w:t>Rendez-vous individuels demandés</w:t>
            </w:r>
          </w:p>
        </w:tc>
        <w:tc>
          <w:tcPr>
            <w:tcW w:type="dxa" w:w="2160"/>
          </w:tcPr>
          <w:p>
            <w:r>
              <w:t>Aucun</w:t>
            </w:r>
          </w:p>
        </w:tc>
        <w:tc>
          <w:tcPr>
            <w:tcW w:type="dxa" w:w="2160"/>
          </w:tcPr>
          <w:p>
            <w:r>
              <w:t>Quelques-uns</w:t>
            </w:r>
          </w:p>
        </w:tc>
        <w:tc>
          <w:tcPr>
            <w:tcW w:type="dxa" w:w="2160"/>
          </w:tcPr>
          <w:p>
            <w:r>
              <w:t>Un flux régulier sur trois semaines</w:t>
            </w:r>
          </w:p>
        </w:tc>
      </w:tr>
      <w:tr>
        <w:tc>
          <w:tcPr>
            <w:tcW w:type="dxa" w:w="2160"/>
          </w:tcPr>
          <w:p>
            <w:r>
              <w:t>Respect du minutage</w:t>
            </w:r>
          </w:p>
        </w:tc>
        <w:tc>
          <w:tcPr>
            <w:tcW w:type="dxa" w:w="2160"/>
          </w:tcPr>
          <w:p>
            <w:r>
              <w:t>Débordement de plus de vingt minutes</w:t>
            </w:r>
          </w:p>
        </w:tc>
        <w:tc>
          <w:tcPr>
            <w:tcW w:type="dxa" w:w="2160"/>
          </w:tcPr>
          <w:p>
            <w:r>
              <w:t>Léger dépassement</w:t>
            </w:r>
          </w:p>
        </w:tc>
        <w:tc>
          <w:tcPr>
            <w:tcW w:type="dxa" w:w="2160"/>
          </w:tcPr>
          <w:p>
            <w:r>
              <w:t>Réunion close à l'heure annoncée</w:t>
            </w:r>
          </w:p>
        </w:tc>
      </w:tr>
      <w:tr>
        <w:tc>
          <w:tcPr>
            <w:tcW w:type="dxa" w:w="2160"/>
          </w:tcPr>
          <w:p>
            <w:r>
              <w:t>Traitement des cas individuels</w:t>
            </w:r>
          </w:p>
        </w:tc>
        <w:tc>
          <w:tcPr>
            <w:tcW w:type="dxa" w:w="2160"/>
          </w:tcPr>
          <w:p>
            <w:r>
              <w:t>Deux familles ont monopolisé la salle</w:t>
            </w:r>
          </w:p>
        </w:tc>
        <w:tc>
          <w:tcPr>
            <w:tcW w:type="dxa" w:w="2160"/>
          </w:tcPr>
          <w:p>
            <w:r>
              <w:t>Quelques digressions</w:t>
            </w:r>
          </w:p>
        </w:tc>
        <w:tc>
          <w:tcPr>
            <w:tcW w:type="dxa" w:w="2160"/>
          </w:tcPr>
          <w:p>
            <w:r>
              <w:t>Tous les cas renvoyés en rendez-vous</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